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0FBEC" w14:textId="77777777" w:rsidR="00994FE2" w:rsidRPr="004305D4" w:rsidRDefault="004305D4" w:rsidP="004305D4">
      <w:pPr>
        <w:spacing w:after="0" w:line="240" w:lineRule="auto"/>
        <w:jc w:val="center"/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noProof/>
        </w:rPr>
        <w:drawing>
          <wp:anchor distT="0" distB="0" distL="114300" distR="114300" simplePos="0" relativeHeight="251662336" behindDoc="0" locked="0" layoutInCell="1" allowOverlap="1" wp14:anchorId="3A32AB84" wp14:editId="44EAA824">
            <wp:simplePos x="0" y="0"/>
            <wp:positionH relativeFrom="column">
              <wp:posOffset>4686300</wp:posOffset>
            </wp:positionH>
            <wp:positionV relativeFrom="paragraph">
              <wp:posOffset>228600</wp:posOffset>
            </wp:positionV>
            <wp:extent cx="1600200" cy="2742565"/>
            <wp:effectExtent l="50800" t="50800" r="50800" b="514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ey_close-u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742565"/>
                    </a:xfrm>
                    <a:prstGeom prst="rect">
                      <a:avLst/>
                    </a:prstGeom>
                    <a:ln w="571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52"/>
          <w:szCs w:val="52"/>
        </w:rPr>
        <w:t xml:space="preserve">       </w:t>
      </w:r>
      <w:r w:rsidRPr="004305D4">
        <w:rPr>
          <w:rFonts w:ascii="Arial Rounded MT Bold" w:hAnsi="Arial Rounded MT Bold"/>
          <w:b/>
          <w:sz w:val="52"/>
          <w:szCs w:val="52"/>
        </w:rPr>
        <w:t>Wiley Blevins</w:t>
      </w:r>
    </w:p>
    <w:p w14:paraId="753D71E2" w14:textId="77777777" w:rsidR="004305D4" w:rsidRDefault="004305D4" w:rsidP="00994FE2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</w:p>
    <w:p w14:paraId="5146F38C" w14:textId="77777777" w:rsidR="005735ED" w:rsidRDefault="005735ED" w:rsidP="004305D4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Keynote</w:t>
      </w:r>
    </w:p>
    <w:p w14:paraId="29FA12DC" w14:textId="77777777" w:rsidR="004305D4" w:rsidRPr="00600B73" w:rsidRDefault="004305D4" w:rsidP="004305D4">
      <w:pPr>
        <w:spacing w:after="0" w:line="240" w:lineRule="auto"/>
        <w:rPr>
          <w:b/>
          <w:sz w:val="20"/>
          <w:szCs w:val="20"/>
        </w:rPr>
      </w:pPr>
      <w:r w:rsidRPr="004305D4">
        <w:rPr>
          <w:b/>
          <w:sz w:val="28"/>
          <w:szCs w:val="28"/>
          <w:u w:val="single"/>
        </w:rPr>
        <w:t>BE THE CHANGE</w:t>
      </w:r>
      <w:r>
        <w:rPr>
          <w:b/>
          <w:sz w:val="28"/>
          <w:szCs w:val="28"/>
        </w:rPr>
        <w:br/>
        <w:t xml:space="preserve">Fine-Tuning Instruction from the Inside-Out and Outside-In </w:t>
      </w:r>
      <w:r>
        <w:rPr>
          <w:b/>
          <w:sz w:val="28"/>
          <w:szCs w:val="28"/>
        </w:rPr>
        <w:br/>
      </w:r>
    </w:p>
    <w:p w14:paraId="79B242F5" w14:textId="77777777" w:rsidR="004305D4" w:rsidRDefault="005735ED" w:rsidP="004305D4">
      <w:pPr>
        <w:spacing w:after="0" w:line="240" w:lineRule="auto"/>
      </w:pPr>
      <w:r w:rsidRPr="005735ED">
        <w:rPr>
          <w:sz w:val="28"/>
          <w:szCs w:val="28"/>
        </w:rPr>
        <w:t xml:space="preserve">Examine ways to </w:t>
      </w:r>
      <w:r w:rsidR="004305D4">
        <w:rPr>
          <w:sz w:val="28"/>
          <w:szCs w:val="28"/>
        </w:rPr>
        <w:t xml:space="preserve">significantly </w:t>
      </w:r>
      <w:r w:rsidRPr="005735ED">
        <w:rPr>
          <w:sz w:val="28"/>
          <w:szCs w:val="28"/>
        </w:rPr>
        <w:t xml:space="preserve">affect instructional practice </w:t>
      </w:r>
      <w:r w:rsidR="004305D4">
        <w:rPr>
          <w:sz w:val="28"/>
          <w:szCs w:val="28"/>
        </w:rPr>
        <w:t xml:space="preserve">whether you </w:t>
      </w:r>
      <w:r w:rsidRPr="005735ED">
        <w:rPr>
          <w:sz w:val="28"/>
          <w:szCs w:val="28"/>
        </w:rPr>
        <w:t xml:space="preserve">are a teacher or administrator. </w:t>
      </w:r>
      <w:r w:rsidR="00B80C02">
        <w:rPr>
          <w:sz w:val="28"/>
          <w:szCs w:val="28"/>
        </w:rPr>
        <w:t xml:space="preserve">Wiley </w:t>
      </w:r>
      <w:r w:rsidRPr="005735ED">
        <w:rPr>
          <w:sz w:val="28"/>
          <w:szCs w:val="28"/>
        </w:rPr>
        <w:t xml:space="preserve">will address a range of topics from being a teacher-researcher to </w:t>
      </w:r>
      <w:r w:rsidR="004305D4">
        <w:rPr>
          <w:sz w:val="28"/>
          <w:szCs w:val="28"/>
        </w:rPr>
        <w:t>how</w:t>
      </w:r>
      <w:r w:rsidRPr="005735ED">
        <w:rPr>
          <w:sz w:val="28"/>
          <w:szCs w:val="28"/>
        </w:rPr>
        <w:t xml:space="preserve"> pr</w:t>
      </w:r>
      <w:r w:rsidR="004305D4">
        <w:rPr>
          <w:sz w:val="28"/>
          <w:szCs w:val="28"/>
        </w:rPr>
        <w:t xml:space="preserve">incipals and district staff can </w:t>
      </w:r>
      <w:r w:rsidRPr="005735ED">
        <w:rPr>
          <w:sz w:val="28"/>
          <w:szCs w:val="28"/>
        </w:rPr>
        <w:t>differentiate PD to engage and accelerate teacher learning and maximize</w:t>
      </w:r>
      <w:r w:rsidR="00B80C02">
        <w:rPr>
          <w:sz w:val="28"/>
          <w:szCs w:val="28"/>
        </w:rPr>
        <w:t xml:space="preserve"> growth.</w:t>
      </w:r>
    </w:p>
    <w:p w14:paraId="46BFA452" w14:textId="77777777" w:rsidR="004305D4" w:rsidRDefault="004305D4" w:rsidP="004305D4">
      <w:pPr>
        <w:spacing w:after="0" w:line="240" w:lineRule="auto"/>
      </w:pPr>
    </w:p>
    <w:p w14:paraId="410FA63F" w14:textId="77777777" w:rsidR="004305D4" w:rsidRPr="004305D4" w:rsidRDefault="004305D4" w:rsidP="004305D4">
      <w:pPr>
        <w:spacing w:after="0" w:line="240" w:lineRule="auto"/>
      </w:pPr>
    </w:p>
    <w:p w14:paraId="10698B2B" w14:textId="77777777" w:rsidR="004305D4" w:rsidRDefault="00711EAE" w:rsidP="004305D4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Breakout S</w:t>
      </w:r>
      <w:r w:rsidR="005735ED">
        <w:rPr>
          <w:rFonts w:ascii="Arial Rounded MT Bold" w:hAnsi="Arial Rounded MT Bold"/>
          <w:b/>
          <w:sz w:val="36"/>
          <w:szCs w:val="36"/>
        </w:rPr>
        <w:t>ession</w:t>
      </w:r>
    </w:p>
    <w:p w14:paraId="3C0CA0A7" w14:textId="77777777" w:rsidR="004305D4" w:rsidRPr="00600B73" w:rsidRDefault="004305D4" w:rsidP="004305D4">
      <w:pP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4305D4">
        <w:rPr>
          <w:b/>
          <w:sz w:val="28"/>
          <w:szCs w:val="28"/>
          <w:u w:val="single"/>
        </w:rPr>
        <w:t>A FRESH LOOK AT PHONICS</w:t>
      </w:r>
      <w:r>
        <w:rPr>
          <w:b/>
          <w:sz w:val="28"/>
          <w:szCs w:val="28"/>
        </w:rPr>
        <w:br/>
      </w:r>
      <w:r w:rsidR="005735ED" w:rsidRPr="005735ED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Ingredients</w:t>
      </w:r>
      <w:r w:rsidR="005735ED" w:rsidRPr="005735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 Success and 10 Common Causes of Failure</w:t>
      </w:r>
      <w:r>
        <w:rPr>
          <w:b/>
          <w:sz w:val="28"/>
          <w:szCs w:val="28"/>
        </w:rPr>
        <w:br/>
      </w:r>
    </w:p>
    <w:p w14:paraId="4B7BEAB4" w14:textId="77777777" w:rsidR="005735ED" w:rsidRPr="004305D4" w:rsidRDefault="004305D4" w:rsidP="004305D4">
      <w:pPr>
        <w:spacing w:after="0" w:line="240" w:lineRule="auto"/>
      </w:pPr>
      <w:r>
        <w:rPr>
          <w:sz w:val="28"/>
          <w:szCs w:val="28"/>
        </w:rPr>
        <w:t xml:space="preserve">Wiley will share his </w:t>
      </w:r>
      <w:r w:rsidR="005735ED" w:rsidRPr="005735ED">
        <w:rPr>
          <w:sz w:val="28"/>
          <w:szCs w:val="28"/>
        </w:rPr>
        <w:t>work with districts over the past five years in which he has been comparing instructional materials, teacher practices, district policies, and test scores to determine where missteps are taking place.</w:t>
      </w:r>
    </w:p>
    <w:p w14:paraId="6BE7D288" w14:textId="77777777" w:rsidR="00994FE2" w:rsidRDefault="00994FE2" w:rsidP="00994FE2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</w:p>
    <w:p w14:paraId="37848EC3" w14:textId="5F62A181" w:rsidR="00994FE2" w:rsidRDefault="00994FE2" w:rsidP="00711EAE">
      <w:pPr>
        <w:spacing w:after="0" w:line="240" w:lineRule="auto"/>
        <w:rPr>
          <w:noProof/>
        </w:rPr>
      </w:pPr>
      <w:r w:rsidRPr="00994FE2">
        <w:rPr>
          <w:sz w:val="28"/>
          <w:szCs w:val="28"/>
        </w:rPr>
        <w:t xml:space="preserve">Wiley Blevins is an early reading </w:t>
      </w:r>
      <w:r w:rsidR="004305D4">
        <w:rPr>
          <w:sz w:val="28"/>
          <w:szCs w:val="28"/>
        </w:rPr>
        <w:t>specialist who holds a M.Ed.</w:t>
      </w:r>
      <w:r w:rsidRPr="00994FE2">
        <w:rPr>
          <w:sz w:val="28"/>
          <w:szCs w:val="28"/>
        </w:rPr>
        <w:t xml:space="preserve"> from Harvard. </w:t>
      </w:r>
      <w:r w:rsidR="004305D4">
        <w:rPr>
          <w:sz w:val="28"/>
          <w:szCs w:val="28"/>
        </w:rPr>
        <w:br/>
      </w:r>
      <w:r w:rsidRPr="00994FE2">
        <w:rPr>
          <w:sz w:val="28"/>
          <w:szCs w:val="28"/>
        </w:rPr>
        <w:t>A former elementary school teacher</w:t>
      </w:r>
      <w:r w:rsidR="004305D4">
        <w:rPr>
          <w:sz w:val="28"/>
          <w:szCs w:val="28"/>
        </w:rPr>
        <w:t xml:space="preserve"> in both the U.S. and South America</w:t>
      </w:r>
      <w:r w:rsidRPr="00994FE2">
        <w:rPr>
          <w:sz w:val="28"/>
          <w:szCs w:val="28"/>
        </w:rPr>
        <w:t xml:space="preserve">, Wiley has written and edited many phonics and reading materials. He is the author of the best-selling </w:t>
      </w:r>
      <w:r w:rsidRPr="004305D4">
        <w:rPr>
          <w:i/>
          <w:sz w:val="28"/>
          <w:szCs w:val="28"/>
        </w:rPr>
        <w:t>Phonics from A-Z</w:t>
      </w:r>
      <w:r w:rsidR="004305D4">
        <w:rPr>
          <w:sz w:val="28"/>
          <w:szCs w:val="28"/>
        </w:rPr>
        <w:t xml:space="preserve">, </w:t>
      </w:r>
      <w:r w:rsidRPr="004305D4">
        <w:rPr>
          <w:i/>
          <w:sz w:val="28"/>
          <w:szCs w:val="28"/>
        </w:rPr>
        <w:t xml:space="preserve">Teaching Phonics and Word Study in the Intermediate Grades, Phonemic </w:t>
      </w:r>
      <w:r w:rsidR="00EA1E84">
        <w:rPr>
          <w:i/>
          <w:sz w:val="28"/>
          <w:szCs w:val="28"/>
        </w:rPr>
        <w:t>A</w:t>
      </w:r>
      <w:r w:rsidRPr="004305D4">
        <w:rPr>
          <w:i/>
          <w:sz w:val="28"/>
          <w:szCs w:val="28"/>
        </w:rPr>
        <w:t>wareness Activities for Early Reading Success,</w:t>
      </w:r>
      <w:r w:rsidR="004305D4">
        <w:rPr>
          <w:sz w:val="28"/>
          <w:szCs w:val="28"/>
        </w:rPr>
        <w:t xml:space="preserve"> </w:t>
      </w:r>
      <w:r w:rsidRPr="004305D4">
        <w:rPr>
          <w:i/>
          <w:sz w:val="28"/>
          <w:szCs w:val="28"/>
        </w:rPr>
        <w:t>Teach</w:t>
      </w:r>
      <w:r w:rsidR="004305D4" w:rsidRPr="004305D4">
        <w:rPr>
          <w:i/>
          <w:sz w:val="28"/>
          <w:szCs w:val="28"/>
        </w:rPr>
        <w:t>ing Students to Read Nonfiction,</w:t>
      </w:r>
      <w:r w:rsidR="004305D4">
        <w:rPr>
          <w:sz w:val="28"/>
          <w:szCs w:val="28"/>
        </w:rPr>
        <w:t xml:space="preserve"> and others.</w:t>
      </w:r>
      <w:r w:rsidRPr="00994FE2">
        <w:rPr>
          <w:sz w:val="28"/>
          <w:szCs w:val="28"/>
        </w:rPr>
        <w:t xml:space="preserve"> He lives in New York City.</w:t>
      </w:r>
      <w:r w:rsidR="00B80C02" w:rsidRPr="00B80C02">
        <w:rPr>
          <w:noProof/>
        </w:rPr>
        <w:t xml:space="preserve"> </w:t>
      </w:r>
    </w:p>
    <w:p w14:paraId="150B5E91" w14:textId="72FF9F53" w:rsidR="00366F40" w:rsidRPr="00690136" w:rsidRDefault="00366F40" w:rsidP="00690136">
      <w:pPr>
        <w:spacing w:after="0" w:line="240" w:lineRule="auto"/>
        <w:rPr>
          <w:b/>
          <w:noProof/>
          <w:sz w:val="32"/>
          <w:szCs w:val="32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AD1B564" wp14:editId="11B386C8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1838325" cy="1723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044" cy="1740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B73">
        <w:rPr>
          <w:noProof/>
        </w:rPr>
        <w:br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="00690136">
        <w:rPr>
          <w:b/>
          <w:noProof/>
          <w:sz w:val="24"/>
          <w:szCs w:val="24"/>
        </w:rPr>
        <w:tab/>
      </w:r>
      <w:r w:rsidRPr="00690136">
        <w:rPr>
          <w:b/>
          <w:noProof/>
          <w:sz w:val="32"/>
          <w:szCs w:val="32"/>
        </w:rPr>
        <w:t>West Virginia Reading Association</w:t>
      </w:r>
    </w:p>
    <w:p w14:paraId="7365A348" w14:textId="53902185" w:rsidR="00862ADD" w:rsidRPr="00690136" w:rsidRDefault="00690136" w:rsidP="00690136">
      <w:pPr>
        <w:spacing w:after="0" w:line="240" w:lineRule="auto"/>
        <w:ind w:left="720" w:firstLine="720"/>
        <w:rPr>
          <w:b/>
          <w:noProof/>
          <w:sz w:val="32"/>
          <w:szCs w:val="32"/>
        </w:rPr>
      </w:pPr>
      <w:r w:rsidRPr="00690136">
        <w:rPr>
          <w:b/>
          <w:noProof/>
          <w:sz w:val="32"/>
          <w:szCs w:val="32"/>
        </w:rPr>
        <w:t xml:space="preserve">        </w:t>
      </w:r>
      <w:r w:rsidR="00366F40" w:rsidRPr="00690136">
        <w:rPr>
          <w:b/>
          <w:noProof/>
          <w:sz w:val="32"/>
          <w:szCs w:val="32"/>
        </w:rPr>
        <w:t>60</w:t>
      </w:r>
      <w:r w:rsidR="00366F40" w:rsidRPr="00690136">
        <w:rPr>
          <w:b/>
          <w:noProof/>
          <w:sz w:val="32"/>
          <w:szCs w:val="32"/>
          <w:vertAlign w:val="superscript"/>
        </w:rPr>
        <w:t>th</w:t>
      </w:r>
      <w:r w:rsidR="00366F40" w:rsidRPr="00690136">
        <w:rPr>
          <w:b/>
          <w:noProof/>
          <w:sz w:val="32"/>
          <w:szCs w:val="32"/>
        </w:rPr>
        <w:t xml:space="preserve"> Annual Conference</w:t>
      </w:r>
    </w:p>
    <w:p w14:paraId="47403463" w14:textId="5B62DA95" w:rsidR="00366F40" w:rsidRPr="00690136" w:rsidRDefault="00690136" w:rsidP="00711EAE">
      <w:pPr>
        <w:spacing w:after="0" w:line="240" w:lineRule="auto"/>
        <w:rPr>
          <w:b/>
          <w:noProof/>
          <w:sz w:val="32"/>
          <w:szCs w:val="32"/>
        </w:rPr>
      </w:pPr>
      <w:r w:rsidRPr="00690136">
        <w:rPr>
          <w:b/>
          <w:noProof/>
          <w:sz w:val="32"/>
          <w:szCs w:val="32"/>
        </w:rPr>
        <w:tab/>
        <w:t xml:space="preserve">           N</w:t>
      </w:r>
      <w:r w:rsidR="00366F40" w:rsidRPr="00690136">
        <w:rPr>
          <w:b/>
          <w:noProof/>
          <w:sz w:val="32"/>
          <w:szCs w:val="32"/>
        </w:rPr>
        <w:t>ovember 19-20, 2015</w:t>
      </w:r>
    </w:p>
    <w:p w14:paraId="70C12462" w14:textId="77777777" w:rsidR="00690136" w:rsidRPr="00690136" w:rsidRDefault="00690136" w:rsidP="00711EAE">
      <w:pPr>
        <w:spacing w:after="0" w:line="240" w:lineRule="auto"/>
        <w:rPr>
          <w:b/>
          <w:noProof/>
          <w:sz w:val="32"/>
          <w:szCs w:val="32"/>
        </w:rPr>
      </w:pPr>
      <w:bookmarkStart w:id="0" w:name="_GoBack"/>
      <w:bookmarkEnd w:id="0"/>
    </w:p>
    <w:p w14:paraId="3B244523" w14:textId="7A687C36" w:rsidR="00366F40" w:rsidRPr="00690136" w:rsidRDefault="00366F40" w:rsidP="00711EAE">
      <w:pPr>
        <w:spacing w:after="0" w:line="240" w:lineRule="auto"/>
        <w:rPr>
          <w:b/>
          <w:noProof/>
          <w:sz w:val="32"/>
          <w:szCs w:val="32"/>
        </w:rPr>
      </w:pPr>
      <w:r w:rsidRPr="00690136">
        <w:rPr>
          <w:b/>
          <w:noProof/>
          <w:sz w:val="32"/>
          <w:szCs w:val="32"/>
        </w:rPr>
        <w:tab/>
      </w:r>
      <w:r w:rsidR="00690136" w:rsidRPr="00690136">
        <w:rPr>
          <w:b/>
          <w:noProof/>
          <w:sz w:val="32"/>
          <w:szCs w:val="32"/>
        </w:rPr>
        <w:t xml:space="preserve">  </w:t>
      </w:r>
      <w:r w:rsidR="00690136" w:rsidRPr="00690136">
        <w:rPr>
          <w:b/>
          <w:noProof/>
          <w:sz w:val="32"/>
          <w:szCs w:val="32"/>
        </w:rPr>
        <w:tab/>
      </w:r>
      <w:r w:rsidRPr="00690136">
        <w:rPr>
          <w:b/>
          <w:noProof/>
          <w:sz w:val="32"/>
          <w:szCs w:val="32"/>
        </w:rPr>
        <w:t>The Greenbrier Resort</w:t>
      </w:r>
    </w:p>
    <w:p w14:paraId="1D35F632" w14:textId="30FFA9D5" w:rsidR="00862ADD" w:rsidRPr="00690136" w:rsidRDefault="00366F40" w:rsidP="00366F40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 w:rsidRPr="00690136">
        <w:rPr>
          <w:b/>
          <w:noProof/>
          <w:sz w:val="32"/>
          <w:szCs w:val="32"/>
        </w:rPr>
        <w:tab/>
      </w:r>
      <w:r w:rsidRPr="00690136">
        <w:rPr>
          <w:b/>
          <w:noProof/>
          <w:sz w:val="32"/>
          <w:szCs w:val="32"/>
        </w:rPr>
        <w:tab/>
      </w:r>
      <w:r w:rsidRPr="00690136">
        <w:rPr>
          <w:b/>
          <w:noProof/>
          <w:sz w:val="32"/>
          <w:szCs w:val="32"/>
        </w:rPr>
        <w:tab/>
      </w:r>
      <w:r w:rsidRPr="00690136">
        <w:rPr>
          <w:b/>
          <w:noProof/>
          <w:sz w:val="32"/>
          <w:szCs w:val="32"/>
        </w:rPr>
        <w:tab/>
      </w:r>
      <w:r w:rsidRPr="00690136">
        <w:rPr>
          <w:b/>
          <w:noProof/>
          <w:sz w:val="32"/>
          <w:szCs w:val="32"/>
        </w:rPr>
        <w:tab/>
      </w:r>
      <w:r w:rsidRPr="00690136">
        <w:rPr>
          <w:b/>
          <w:noProof/>
          <w:sz w:val="32"/>
          <w:szCs w:val="32"/>
        </w:rPr>
        <w:tab/>
        <w:t>White Sulphur Spring</w:t>
      </w:r>
      <w:r w:rsidR="00690136" w:rsidRPr="00690136">
        <w:rPr>
          <w:b/>
          <w:noProof/>
          <w:sz w:val="32"/>
          <w:szCs w:val="32"/>
        </w:rPr>
        <w:t>s</w:t>
      </w:r>
      <w:r w:rsidRPr="00690136">
        <w:rPr>
          <w:b/>
          <w:noProof/>
          <w:sz w:val="32"/>
          <w:szCs w:val="32"/>
        </w:rPr>
        <w:t>, West V</w:t>
      </w:r>
      <w:r w:rsidR="00690136" w:rsidRPr="00690136">
        <w:rPr>
          <w:b/>
          <w:noProof/>
          <w:sz w:val="32"/>
          <w:szCs w:val="32"/>
        </w:rPr>
        <w:t>irginia</w:t>
      </w:r>
      <w:r w:rsidR="00862ADD" w:rsidRPr="00690136">
        <w:rPr>
          <w:rFonts w:ascii="Arial Rounded MT Bold" w:hAnsi="Arial Rounded MT Bold"/>
          <w:sz w:val="32"/>
          <w:szCs w:val="32"/>
        </w:rPr>
        <w:t xml:space="preserve">            </w:t>
      </w:r>
      <w:r w:rsidRPr="00690136">
        <w:rPr>
          <w:rFonts w:ascii="Arial Rounded MT Bold" w:hAnsi="Arial Rounded MT Bold"/>
          <w:sz w:val="32"/>
          <w:szCs w:val="32"/>
        </w:rPr>
        <w:t xml:space="preserve"> </w:t>
      </w:r>
    </w:p>
    <w:sectPr w:rsidR="00862ADD" w:rsidRPr="00690136" w:rsidSect="00690136">
      <w:pgSz w:w="12240" w:h="15840"/>
      <w:pgMar w:top="1440" w:right="1440" w:bottom="1440" w:left="1440" w:header="432" w:footer="432" w:gutter="0"/>
      <w:pgBorders w:display="firstPage"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60E5B" w14:textId="77777777" w:rsidR="00806F3B" w:rsidRDefault="00806F3B" w:rsidP="00994FE2">
      <w:pPr>
        <w:spacing w:after="0" w:line="240" w:lineRule="auto"/>
      </w:pPr>
      <w:r>
        <w:separator/>
      </w:r>
    </w:p>
  </w:endnote>
  <w:endnote w:type="continuationSeparator" w:id="0">
    <w:p w14:paraId="217A314B" w14:textId="77777777" w:rsidR="00806F3B" w:rsidRDefault="00806F3B" w:rsidP="0099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86897" w14:textId="77777777" w:rsidR="00806F3B" w:rsidRDefault="00806F3B" w:rsidP="00994FE2">
      <w:pPr>
        <w:spacing w:after="0" w:line="240" w:lineRule="auto"/>
      </w:pPr>
      <w:r>
        <w:separator/>
      </w:r>
    </w:p>
  </w:footnote>
  <w:footnote w:type="continuationSeparator" w:id="0">
    <w:p w14:paraId="7AAF9CBB" w14:textId="77777777" w:rsidR="00806F3B" w:rsidRDefault="00806F3B" w:rsidP="00994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95"/>
    <w:rsid w:val="000A151A"/>
    <w:rsid w:val="000A775D"/>
    <w:rsid w:val="0014288C"/>
    <w:rsid w:val="00150232"/>
    <w:rsid w:val="00214AD9"/>
    <w:rsid w:val="00236A29"/>
    <w:rsid w:val="002A1F20"/>
    <w:rsid w:val="002A269C"/>
    <w:rsid w:val="00343EF1"/>
    <w:rsid w:val="0035367B"/>
    <w:rsid w:val="00357FAF"/>
    <w:rsid w:val="00366F40"/>
    <w:rsid w:val="0039068A"/>
    <w:rsid w:val="004305D4"/>
    <w:rsid w:val="0043409F"/>
    <w:rsid w:val="004F4E03"/>
    <w:rsid w:val="00504337"/>
    <w:rsid w:val="00550BEC"/>
    <w:rsid w:val="005735ED"/>
    <w:rsid w:val="005A45C0"/>
    <w:rsid w:val="005E5BD0"/>
    <w:rsid w:val="00600B73"/>
    <w:rsid w:val="00602DC5"/>
    <w:rsid w:val="006047B3"/>
    <w:rsid w:val="00614712"/>
    <w:rsid w:val="00690136"/>
    <w:rsid w:val="00711EAE"/>
    <w:rsid w:val="00717F3B"/>
    <w:rsid w:val="00806F3B"/>
    <w:rsid w:val="008320F3"/>
    <w:rsid w:val="00847327"/>
    <w:rsid w:val="00862ADD"/>
    <w:rsid w:val="0086413C"/>
    <w:rsid w:val="008D6DAF"/>
    <w:rsid w:val="009401B9"/>
    <w:rsid w:val="00994FE2"/>
    <w:rsid w:val="009B3BD2"/>
    <w:rsid w:val="00A540C3"/>
    <w:rsid w:val="00AE6BD0"/>
    <w:rsid w:val="00B13C95"/>
    <w:rsid w:val="00B80C02"/>
    <w:rsid w:val="00BF4CC3"/>
    <w:rsid w:val="00C16978"/>
    <w:rsid w:val="00C86308"/>
    <w:rsid w:val="00D70149"/>
    <w:rsid w:val="00E033C8"/>
    <w:rsid w:val="00E70194"/>
    <w:rsid w:val="00E97BF5"/>
    <w:rsid w:val="00EA1E84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5EF8C"/>
  <w15:docId w15:val="{1FD184FD-B78A-48D5-9317-C86793AA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33C8"/>
    <w:rPr>
      <w:b/>
      <w:bCs/>
    </w:rPr>
  </w:style>
  <w:style w:type="character" w:styleId="Hyperlink">
    <w:name w:val="Hyperlink"/>
    <w:basedOn w:val="DefaultParagraphFont"/>
    <w:uiPriority w:val="99"/>
    <w:unhideWhenUsed/>
    <w:rsid w:val="008D6D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E2"/>
  </w:style>
  <w:style w:type="paragraph" w:styleId="Footer">
    <w:name w:val="footer"/>
    <w:basedOn w:val="Normal"/>
    <w:link w:val="FooterChar"/>
    <w:uiPriority w:val="99"/>
    <w:unhideWhenUsed/>
    <w:rsid w:val="0099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7157D8-248B-4516-B728-38F81EEF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</dc:creator>
  <cp:keywords/>
  <dc:description/>
  <cp:lastModifiedBy>Bruce Neal</cp:lastModifiedBy>
  <cp:revision>2</cp:revision>
  <cp:lastPrinted>2015-06-09T15:43:00Z</cp:lastPrinted>
  <dcterms:created xsi:type="dcterms:W3CDTF">2015-06-09T15:52:00Z</dcterms:created>
  <dcterms:modified xsi:type="dcterms:W3CDTF">2015-06-09T15:52:00Z</dcterms:modified>
</cp:coreProperties>
</file>